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7"/>
        <w:gridCol w:w="592"/>
        <w:gridCol w:w="2896"/>
      </w:tblGrid>
      <w:tr w:rsidR="00B137C0" w:rsidRPr="00B137C0" w:rsidTr="001D38D7">
        <w:tc>
          <w:tcPr>
            <w:tcW w:w="13949" w:type="dxa"/>
            <w:gridSpan w:val="5"/>
            <w:shd w:val="clear" w:color="auto" w:fill="DEEAF6" w:themeFill="accent1" w:themeFillTint="33"/>
          </w:tcPr>
          <w:p w:rsidR="00B137C0" w:rsidRPr="00B23FF0" w:rsidRDefault="00B137C0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23FF0">
              <w:rPr>
                <w:rFonts w:ascii="Arial" w:hAnsi="Arial" w:cs="Arial"/>
                <w:b/>
              </w:rPr>
              <w:t>Summary information</w:t>
            </w:r>
          </w:p>
          <w:p w:rsidR="00B137C0" w:rsidRPr="00B23FF0" w:rsidRDefault="00B137C0">
            <w:pPr>
              <w:rPr>
                <w:rFonts w:ascii="Arial" w:hAnsi="Arial" w:cs="Arial"/>
                <w:b/>
              </w:rPr>
            </w:pPr>
          </w:p>
        </w:tc>
      </w:tr>
      <w:tr w:rsidR="00B137C0" w:rsidRPr="00B137C0" w:rsidTr="001D38D7">
        <w:tc>
          <w:tcPr>
            <w:tcW w:w="3487" w:type="dxa"/>
            <w:shd w:val="clear" w:color="auto" w:fill="DEEAF6" w:themeFill="accent1" w:themeFillTint="33"/>
          </w:tcPr>
          <w:p w:rsidR="00B137C0" w:rsidRPr="00B23FF0" w:rsidRDefault="00B137C0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 xml:space="preserve">Academic year </w:t>
            </w:r>
          </w:p>
          <w:p w:rsidR="00B137C0" w:rsidRPr="00B23FF0" w:rsidRDefault="00B137C0">
            <w:pPr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:rsidR="00B137C0" w:rsidRPr="00B137C0" w:rsidRDefault="00B137C0">
            <w:pPr>
              <w:rPr>
                <w:rFonts w:ascii="Arial" w:hAnsi="Arial" w:cs="Arial"/>
              </w:rPr>
            </w:pPr>
            <w:r w:rsidRPr="00B137C0">
              <w:rPr>
                <w:rFonts w:ascii="Arial" w:hAnsi="Arial" w:cs="Arial"/>
              </w:rPr>
              <w:t>2018</w:t>
            </w:r>
            <w:r w:rsidR="00083C1B">
              <w:rPr>
                <w:rFonts w:ascii="Arial" w:hAnsi="Arial" w:cs="Arial"/>
              </w:rPr>
              <w:t xml:space="preserve"> </w:t>
            </w:r>
            <w:r w:rsidRPr="00B137C0">
              <w:rPr>
                <w:rFonts w:ascii="Arial" w:hAnsi="Arial" w:cs="Arial"/>
              </w:rPr>
              <w:t>- 2019</w:t>
            </w:r>
          </w:p>
        </w:tc>
        <w:tc>
          <w:tcPr>
            <w:tcW w:w="4079" w:type="dxa"/>
            <w:gridSpan w:val="2"/>
            <w:shd w:val="clear" w:color="auto" w:fill="DEEAF6" w:themeFill="accent1" w:themeFillTint="33"/>
          </w:tcPr>
          <w:p w:rsidR="00B137C0" w:rsidRPr="00B23FF0" w:rsidRDefault="00B137C0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2896" w:type="dxa"/>
          </w:tcPr>
          <w:p w:rsidR="00B137C0" w:rsidRPr="00B137C0" w:rsidRDefault="00E53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£13,500</w:t>
            </w:r>
          </w:p>
        </w:tc>
      </w:tr>
      <w:tr w:rsidR="00B137C0" w:rsidRPr="00B137C0" w:rsidTr="001D38D7">
        <w:tc>
          <w:tcPr>
            <w:tcW w:w="3487" w:type="dxa"/>
            <w:shd w:val="clear" w:color="auto" w:fill="DEEAF6" w:themeFill="accent1" w:themeFillTint="33"/>
          </w:tcPr>
          <w:p w:rsidR="00B137C0" w:rsidRPr="00B23FF0" w:rsidRDefault="00B137C0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Total number of pupils</w:t>
            </w:r>
          </w:p>
          <w:p w:rsidR="00B137C0" w:rsidRPr="00B23FF0" w:rsidRDefault="00B137C0">
            <w:pPr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:rsidR="00B137C0" w:rsidRPr="00B137C0" w:rsidRDefault="00B13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4079" w:type="dxa"/>
            <w:gridSpan w:val="2"/>
            <w:shd w:val="clear" w:color="auto" w:fill="DEEAF6" w:themeFill="accent1" w:themeFillTint="33"/>
          </w:tcPr>
          <w:p w:rsidR="00B137C0" w:rsidRPr="00B23FF0" w:rsidRDefault="00B137C0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Total number of pupils eligible for PP</w:t>
            </w:r>
          </w:p>
        </w:tc>
        <w:tc>
          <w:tcPr>
            <w:tcW w:w="2896" w:type="dxa"/>
          </w:tcPr>
          <w:p w:rsidR="00B137C0" w:rsidRPr="00B137C0" w:rsidRDefault="00B13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537F2" w:rsidRPr="00E537F2" w:rsidTr="001D38D7">
        <w:tc>
          <w:tcPr>
            <w:tcW w:w="13949" w:type="dxa"/>
            <w:gridSpan w:val="5"/>
          </w:tcPr>
          <w:p w:rsidR="00E537F2" w:rsidRPr="00B23FF0" w:rsidRDefault="00E537F2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Review of expenditure</w:t>
            </w:r>
          </w:p>
          <w:p w:rsidR="00E537F2" w:rsidRPr="00E537F2" w:rsidRDefault="00E537F2">
            <w:pPr>
              <w:rPr>
                <w:rFonts w:ascii="Arial" w:hAnsi="Arial" w:cs="Arial"/>
              </w:rPr>
            </w:pPr>
          </w:p>
        </w:tc>
      </w:tr>
      <w:tr w:rsidR="00E537F2" w:rsidRPr="00E537F2" w:rsidTr="001D38D7">
        <w:tc>
          <w:tcPr>
            <w:tcW w:w="13949" w:type="dxa"/>
            <w:gridSpan w:val="5"/>
          </w:tcPr>
          <w:p w:rsidR="00E537F2" w:rsidRPr="00B23FF0" w:rsidRDefault="00E537F2" w:rsidP="00E537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Quality of teaching for all</w:t>
            </w:r>
          </w:p>
        </w:tc>
      </w:tr>
      <w:tr w:rsidR="00B137C0" w:rsidRPr="00E537F2" w:rsidTr="001D38D7">
        <w:tc>
          <w:tcPr>
            <w:tcW w:w="3487" w:type="dxa"/>
          </w:tcPr>
          <w:p w:rsidR="00B137C0" w:rsidRPr="001D38D7" w:rsidRDefault="00083C1B">
            <w:pPr>
              <w:rPr>
                <w:rFonts w:ascii="Arial" w:hAnsi="Arial" w:cs="Arial"/>
                <w:b/>
              </w:rPr>
            </w:pPr>
            <w:r w:rsidRPr="001D38D7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3487" w:type="dxa"/>
          </w:tcPr>
          <w:p w:rsidR="00B137C0" w:rsidRDefault="00083C1B">
            <w:pPr>
              <w:rPr>
                <w:rFonts w:ascii="Arial" w:hAnsi="Arial" w:cs="Arial"/>
                <w:b/>
              </w:rPr>
            </w:pPr>
            <w:r w:rsidRPr="001D38D7">
              <w:rPr>
                <w:rFonts w:ascii="Arial" w:hAnsi="Arial" w:cs="Arial"/>
                <w:b/>
              </w:rPr>
              <w:t>Chosen action/approach</w:t>
            </w:r>
          </w:p>
          <w:p w:rsidR="002333F8" w:rsidRPr="001D38D7" w:rsidRDefault="002333F8">
            <w:pPr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:rsidR="00B137C0" w:rsidRPr="001D38D7" w:rsidRDefault="009E66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083C1B" w:rsidRPr="001D38D7">
              <w:rPr>
                <w:rFonts w:ascii="Arial" w:hAnsi="Arial" w:cs="Arial"/>
                <w:b/>
              </w:rPr>
              <w:t>mpact</w:t>
            </w:r>
          </w:p>
        </w:tc>
        <w:tc>
          <w:tcPr>
            <w:tcW w:w="3488" w:type="dxa"/>
            <w:gridSpan w:val="2"/>
          </w:tcPr>
          <w:p w:rsidR="00B137C0" w:rsidRPr="001D38D7" w:rsidRDefault="00083C1B">
            <w:pPr>
              <w:rPr>
                <w:rFonts w:ascii="Arial" w:hAnsi="Arial" w:cs="Arial"/>
                <w:b/>
              </w:rPr>
            </w:pPr>
            <w:r w:rsidRPr="001D38D7">
              <w:rPr>
                <w:rFonts w:ascii="Arial" w:hAnsi="Arial" w:cs="Arial"/>
                <w:b/>
              </w:rPr>
              <w:t>Lessons learned/next steps</w:t>
            </w:r>
          </w:p>
        </w:tc>
      </w:tr>
      <w:tr w:rsidR="003B01FD" w:rsidRPr="00E537F2" w:rsidTr="001D38D7">
        <w:tc>
          <w:tcPr>
            <w:tcW w:w="3487" w:type="dxa"/>
            <w:vMerge w:val="restart"/>
          </w:tcPr>
          <w:p w:rsidR="003B01FD" w:rsidRPr="003B01FD" w:rsidRDefault="003B01FD" w:rsidP="003B0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3B01FD">
              <w:rPr>
                <w:rFonts w:ascii="Arial" w:hAnsi="Arial" w:cs="Arial"/>
                <w:sz w:val="20"/>
                <w:szCs w:val="20"/>
              </w:rPr>
              <w:t>Pupil Premium pupils to develop strong attitudes towards live long learning and build robust learning habits through our school values and learning ethos.</w:t>
            </w:r>
          </w:p>
        </w:tc>
        <w:tc>
          <w:tcPr>
            <w:tcW w:w="3487" w:type="dxa"/>
          </w:tcPr>
          <w:p w:rsidR="003B01FD" w:rsidRPr="003B01FD" w:rsidRDefault="003B01FD" w:rsidP="003B01F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B01FD">
              <w:rPr>
                <w:rFonts w:ascii="Arial" w:hAnsi="Arial" w:cs="Arial"/>
                <w:sz w:val="20"/>
                <w:szCs w:val="20"/>
              </w:rPr>
              <w:t>1)</w:t>
            </w:r>
            <w:r w:rsidR="002A1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1FD">
              <w:rPr>
                <w:rFonts w:ascii="Arial" w:hAnsi="Arial" w:cs="Arial"/>
                <w:sz w:val="20"/>
                <w:szCs w:val="20"/>
              </w:rPr>
              <w:t>High quality teaching through investment in staff CPD. HIAS Inspector training “Living up to Outstanding” Plan and teach resilience habits</w:t>
            </w:r>
          </w:p>
          <w:p w:rsidR="003B01FD" w:rsidRPr="003B01FD" w:rsidRDefault="003B01FD" w:rsidP="003B01F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3B01FD" w:rsidRPr="002333F8" w:rsidRDefault="00C234EF" w:rsidP="002333F8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2333F8">
              <w:rPr>
                <w:rFonts w:ascii="Arial" w:hAnsi="Arial" w:cs="Arial"/>
                <w:sz w:val="20"/>
                <w:szCs w:val="20"/>
              </w:rPr>
              <w:t>High, positive impact for all staff. Staff’s knowledge and understanding of resilience has improved and developed as seen in monitoring of teaching and learning.</w:t>
            </w:r>
            <w:r w:rsidR="003B01FD" w:rsidRPr="002333F8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2333F8" w:rsidRPr="002333F8" w:rsidRDefault="002333F8" w:rsidP="002333F8">
            <w:pPr>
              <w:pStyle w:val="ListParagraph"/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:rsidR="005B0D5A" w:rsidRDefault="00C70344" w:rsidP="005B0D5A">
            <w:pPr>
              <w:rPr>
                <w:rFonts w:ascii="Arial" w:hAnsi="Arial" w:cs="Arial"/>
                <w:sz w:val="20"/>
                <w:szCs w:val="20"/>
              </w:rPr>
            </w:pPr>
            <w:r w:rsidRPr="00C70344">
              <w:rPr>
                <w:rFonts w:ascii="Arial" w:hAnsi="Arial" w:cs="Arial"/>
                <w:sz w:val="20"/>
                <w:szCs w:val="20"/>
              </w:rPr>
              <w:t>Continued CPD next year.</w:t>
            </w:r>
            <w:r>
              <w:rPr>
                <w:rFonts w:ascii="Arial" w:hAnsi="Arial" w:cs="Arial"/>
                <w:sz w:val="20"/>
                <w:szCs w:val="20"/>
              </w:rPr>
              <w:t xml:space="preserve"> Continue to embed good practice.  </w:t>
            </w:r>
          </w:p>
          <w:p w:rsidR="003B01FD" w:rsidRPr="00C70344" w:rsidRDefault="005B0D5A" w:rsidP="005B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Leader in Me training </w:t>
            </w:r>
            <w:r w:rsidR="00C70344">
              <w:rPr>
                <w:rFonts w:ascii="Arial" w:hAnsi="Arial" w:cs="Arial"/>
                <w:sz w:val="20"/>
                <w:szCs w:val="20"/>
              </w:rPr>
              <w:t>focus for 2019 – 2020.</w:t>
            </w:r>
          </w:p>
        </w:tc>
      </w:tr>
      <w:tr w:rsidR="003B01FD" w:rsidRPr="00E537F2" w:rsidTr="001D38D7">
        <w:tc>
          <w:tcPr>
            <w:tcW w:w="3487" w:type="dxa"/>
            <w:vMerge/>
          </w:tcPr>
          <w:p w:rsidR="003B01FD" w:rsidRPr="003B01FD" w:rsidRDefault="003B01FD" w:rsidP="003B0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3B01FD" w:rsidRPr="003B01FD" w:rsidRDefault="003B01FD" w:rsidP="003B01F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B01FD">
              <w:rPr>
                <w:rFonts w:ascii="Arial" w:hAnsi="Arial" w:cs="Arial"/>
                <w:sz w:val="20"/>
                <w:szCs w:val="20"/>
              </w:rPr>
              <w:t>2) Teachers released for pupil progress review sessions 3 x a year</w:t>
            </w:r>
          </w:p>
          <w:p w:rsidR="003B01FD" w:rsidRPr="003B01FD" w:rsidRDefault="003B01FD" w:rsidP="003B01F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3B01FD" w:rsidRDefault="003B01FD" w:rsidP="003B01FD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B01F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2) </w:t>
            </w:r>
            <w:r w:rsidRPr="003B01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1F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Teachers involved in discussions with senior leaders related to pupil attainment and progress and review</w:t>
            </w:r>
            <w:r w:rsidR="00C7034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of provision and interventions ensuring bespoke individualised provision.</w:t>
            </w:r>
          </w:p>
          <w:p w:rsidR="002333F8" w:rsidRDefault="002333F8" w:rsidP="003B01FD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2333F8" w:rsidRPr="003B01FD" w:rsidRDefault="002333F8" w:rsidP="003B01FD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:rsidR="003B01FD" w:rsidRPr="00C70344" w:rsidRDefault="00C70344" w:rsidP="009E662D">
            <w:pPr>
              <w:rPr>
                <w:rFonts w:ascii="Arial" w:hAnsi="Arial" w:cs="Arial"/>
                <w:sz w:val="20"/>
                <w:szCs w:val="20"/>
              </w:rPr>
            </w:pPr>
            <w:r w:rsidRPr="00C70344">
              <w:rPr>
                <w:rFonts w:ascii="Arial" w:hAnsi="Arial" w:cs="Arial"/>
                <w:sz w:val="20"/>
                <w:szCs w:val="20"/>
              </w:rPr>
              <w:t>Continue</w:t>
            </w:r>
            <w:r w:rsidR="00F25A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62D">
              <w:rPr>
                <w:rFonts w:ascii="Arial" w:hAnsi="Arial" w:cs="Arial"/>
                <w:sz w:val="20"/>
                <w:szCs w:val="20"/>
              </w:rPr>
              <w:t xml:space="preserve">with staff </w:t>
            </w:r>
            <w:r w:rsidR="002333F8">
              <w:rPr>
                <w:rFonts w:ascii="Arial" w:hAnsi="Arial" w:cs="Arial"/>
                <w:sz w:val="20"/>
                <w:szCs w:val="20"/>
              </w:rPr>
              <w:t>and embed</w:t>
            </w:r>
            <w:r w:rsidR="00F25A0A">
              <w:rPr>
                <w:rFonts w:ascii="Arial" w:hAnsi="Arial" w:cs="Arial"/>
                <w:sz w:val="20"/>
                <w:szCs w:val="20"/>
              </w:rPr>
              <w:t xml:space="preserve"> with new staff</w:t>
            </w:r>
            <w:r w:rsidRPr="00C703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33FD7" w:rsidRPr="00E537F2" w:rsidTr="001D38D7">
        <w:tc>
          <w:tcPr>
            <w:tcW w:w="3487" w:type="dxa"/>
          </w:tcPr>
          <w:p w:rsidR="00633FD7" w:rsidRPr="003B01FD" w:rsidRDefault="00633FD7" w:rsidP="00633FD7">
            <w:pPr>
              <w:rPr>
                <w:rFonts w:ascii="Arial" w:hAnsi="Arial" w:cs="Arial"/>
                <w:sz w:val="20"/>
                <w:szCs w:val="20"/>
              </w:rPr>
            </w:pPr>
            <w:r w:rsidRPr="003B01FD">
              <w:rPr>
                <w:rFonts w:ascii="Arial" w:hAnsi="Arial" w:cs="Arial"/>
                <w:sz w:val="20"/>
                <w:szCs w:val="20"/>
              </w:rPr>
              <w:t>C. Higher rates of rapid progress across the school for PP pupils.</w:t>
            </w:r>
          </w:p>
        </w:tc>
        <w:tc>
          <w:tcPr>
            <w:tcW w:w="3487" w:type="dxa"/>
          </w:tcPr>
          <w:p w:rsidR="00633FD7" w:rsidRPr="003B01FD" w:rsidRDefault="00633FD7" w:rsidP="000019AD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B01F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1)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3B01F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Enhance literacy skills </w:t>
            </w:r>
            <w:r w:rsidR="000019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through </w:t>
            </w:r>
            <w:r w:rsidRPr="003B01F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literacy texts as well as topics </w:t>
            </w:r>
            <w:r w:rsidR="000019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meeting </w:t>
            </w:r>
            <w:r w:rsidRPr="003B01F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PP pupils’ diverse needs and interests. </w:t>
            </w:r>
          </w:p>
        </w:tc>
        <w:tc>
          <w:tcPr>
            <w:tcW w:w="3487" w:type="dxa"/>
          </w:tcPr>
          <w:p w:rsidR="00633FD7" w:rsidRDefault="00633FD7" w:rsidP="00AD0F91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33FD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1)</w:t>
            </w:r>
            <w:r w:rsidR="002A143A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AD0F9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In Key Stage 1 all pupils eligible for PP funding made expected progress in reading, writing and maths and in line with their peers.</w:t>
            </w:r>
          </w:p>
          <w:p w:rsidR="00AD0F91" w:rsidRDefault="00AD0F91" w:rsidP="00AD0F91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In Key Stage 2 the vast majority of pupils eligible for PP funding made expected or better progress from their individual starting point. This was broadly in line with their peers. </w:t>
            </w:r>
          </w:p>
          <w:p w:rsidR="009E662D" w:rsidRPr="00633FD7" w:rsidRDefault="009E662D" w:rsidP="00AD0F91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:rsidR="00633FD7" w:rsidRPr="00C90FBE" w:rsidRDefault="00AD0F91" w:rsidP="00C90FBE">
            <w:pPr>
              <w:rPr>
                <w:rFonts w:ascii="Arial" w:hAnsi="Arial" w:cs="Arial"/>
                <w:sz w:val="20"/>
                <w:szCs w:val="20"/>
              </w:rPr>
            </w:pPr>
            <w:r w:rsidRPr="00C90FBE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="00C90FBE">
              <w:rPr>
                <w:rFonts w:ascii="Arial" w:hAnsi="Arial" w:cs="Arial"/>
                <w:sz w:val="20"/>
                <w:szCs w:val="20"/>
              </w:rPr>
              <w:t>ensure good progress for those pupils eligible for PP funding, and that they are on track to make at least expected progress from their starting points.</w:t>
            </w:r>
          </w:p>
        </w:tc>
      </w:tr>
      <w:tr w:rsidR="001D38D7" w:rsidRPr="00E537F2" w:rsidTr="001D38D7">
        <w:tc>
          <w:tcPr>
            <w:tcW w:w="3487" w:type="dxa"/>
          </w:tcPr>
          <w:p w:rsidR="001D38D7" w:rsidRPr="001D38D7" w:rsidRDefault="001D38D7" w:rsidP="00C31B69">
            <w:pPr>
              <w:rPr>
                <w:rFonts w:ascii="Arial" w:hAnsi="Arial" w:cs="Arial"/>
                <w:b/>
              </w:rPr>
            </w:pPr>
            <w:r w:rsidRPr="001D38D7">
              <w:rPr>
                <w:rFonts w:ascii="Arial" w:hAnsi="Arial" w:cs="Arial"/>
                <w:b/>
              </w:rPr>
              <w:lastRenderedPageBreak/>
              <w:t>Desired outcome</w:t>
            </w:r>
          </w:p>
        </w:tc>
        <w:tc>
          <w:tcPr>
            <w:tcW w:w="3487" w:type="dxa"/>
          </w:tcPr>
          <w:p w:rsidR="001D38D7" w:rsidRPr="001D38D7" w:rsidRDefault="001D38D7" w:rsidP="00C31B69">
            <w:pPr>
              <w:rPr>
                <w:rFonts w:ascii="Arial" w:hAnsi="Arial" w:cs="Arial"/>
                <w:b/>
              </w:rPr>
            </w:pPr>
            <w:r w:rsidRPr="001D38D7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487" w:type="dxa"/>
          </w:tcPr>
          <w:p w:rsidR="001D38D7" w:rsidRPr="001D38D7" w:rsidRDefault="009E662D" w:rsidP="00C31B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1D38D7" w:rsidRPr="001D38D7">
              <w:rPr>
                <w:rFonts w:ascii="Arial" w:hAnsi="Arial" w:cs="Arial"/>
                <w:b/>
              </w:rPr>
              <w:t>mpact</w:t>
            </w:r>
          </w:p>
        </w:tc>
        <w:tc>
          <w:tcPr>
            <w:tcW w:w="3488" w:type="dxa"/>
            <w:gridSpan w:val="2"/>
          </w:tcPr>
          <w:p w:rsidR="001D38D7" w:rsidRPr="001D38D7" w:rsidRDefault="001D38D7" w:rsidP="00C31B69">
            <w:pPr>
              <w:rPr>
                <w:rFonts w:ascii="Arial" w:hAnsi="Arial" w:cs="Arial"/>
                <w:b/>
              </w:rPr>
            </w:pPr>
            <w:r w:rsidRPr="001D38D7">
              <w:rPr>
                <w:rFonts w:ascii="Arial" w:hAnsi="Arial" w:cs="Arial"/>
                <w:b/>
              </w:rPr>
              <w:t>Lessons learned/next steps</w:t>
            </w:r>
          </w:p>
        </w:tc>
      </w:tr>
      <w:tr w:rsidR="00633FD7" w:rsidRPr="00E537F2" w:rsidTr="001D38D7">
        <w:tc>
          <w:tcPr>
            <w:tcW w:w="3487" w:type="dxa"/>
          </w:tcPr>
          <w:p w:rsidR="00633FD7" w:rsidRPr="00E537F2" w:rsidRDefault="00633FD7" w:rsidP="00633FD7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633FD7" w:rsidRPr="003B01FD" w:rsidRDefault="00633FD7" w:rsidP="00633FD7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B01F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2)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3B01F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LSA intervention support.</w:t>
            </w:r>
          </w:p>
        </w:tc>
        <w:tc>
          <w:tcPr>
            <w:tcW w:w="3487" w:type="dxa"/>
          </w:tcPr>
          <w:p w:rsidR="00633FD7" w:rsidRPr="00633FD7" w:rsidRDefault="00633FD7" w:rsidP="00633FD7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33FD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2)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633FD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 number of PP pupils are achieving highly at school and in order to achieve their potential, are provided with additional experiences outside the classroom to challenge them.</w:t>
            </w:r>
            <w:r w:rsidR="00AD0F9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Please see above.</w:t>
            </w:r>
          </w:p>
        </w:tc>
        <w:tc>
          <w:tcPr>
            <w:tcW w:w="3488" w:type="dxa"/>
            <w:gridSpan w:val="2"/>
          </w:tcPr>
          <w:p w:rsidR="00633FD7" w:rsidRPr="00E537F2" w:rsidRDefault="00C90FBE" w:rsidP="005B77B7">
            <w:pPr>
              <w:rPr>
                <w:rFonts w:ascii="Arial" w:hAnsi="Arial" w:cs="Arial"/>
              </w:rPr>
            </w:pPr>
            <w:r w:rsidRPr="00C90FBE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F25A0A">
              <w:rPr>
                <w:rFonts w:ascii="Arial" w:hAnsi="Arial" w:cs="Arial"/>
                <w:sz w:val="20"/>
                <w:szCs w:val="20"/>
              </w:rPr>
              <w:t>good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progress for those pupils eligible for PP funding, and that they are on </w:t>
            </w:r>
            <w:r w:rsidR="005B77B7">
              <w:rPr>
                <w:rFonts w:ascii="Arial" w:hAnsi="Arial" w:cs="Arial"/>
                <w:sz w:val="20"/>
                <w:szCs w:val="20"/>
              </w:rPr>
              <w:t xml:space="preserve">track to make at least expected, if not more </w:t>
            </w:r>
            <w:r>
              <w:rPr>
                <w:rFonts w:ascii="Arial" w:hAnsi="Arial" w:cs="Arial"/>
                <w:sz w:val="20"/>
                <w:szCs w:val="20"/>
              </w:rPr>
              <w:t>progress from their starting points</w:t>
            </w:r>
            <w:r w:rsidR="005B77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333F8" w:rsidRPr="00E537F2" w:rsidTr="001D38D7">
        <w:tc>
          <w:tcPr>
            <w:tcW w:w="3487" w:type="dxa"/>
            <w:vMerge w:val="restart"/>
          </w:tcPr>
          <w:p w:rsidR="002333F8" w:rsidRPr="0010390D" w:rsidRDefault="002333F8" w:rsidP="0010390D">
            <w:pPr>
              <w:rPr>
                <w:rFonts w:ascii="Arial" w:hAnsi="Arial" w:cs="Arial"/>
                <w:sz w:val="20"/>
                <w:szCs w:val="20"/>
              </w:rPr>
            </w:pPr>
            <w:r w:rsidRPr="0010390D">
              <w:rPr>
                <w:rFonts w:ascii="Arial" w:eastAsia="Calibri" w:hAnsi="Arial" w:cs="Arial"/>
                <w:sz w:val="20"/>
                <w:szCs w:val="20"/>
              </w:rPr>
              <w:t>E. All PP pupils have access to extra-curricular activities, opportunities to take part in any enriched activity, visit or residential experience</w:t>
            </w:r>
          </w:p>
        </w:tc>
        <w:tc>
          <w:tcPr>
            <w:tcW w:w="3487" w:type="dxa"/>
          </w:tcPr>
          <w:p w:rsidR="002333F8" w:rsidRPr="0010390D" w:rsidRDefault="002333F8" w:rsidP="0010390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0390D">
              <w:rPr>
                <w:rFonts w:ascii="Arial" w:hAnsi="Arial" w:cs="Arial"/>
                <w:sz w:val="20"/>
                <w:szCs w:val="20"/>
              </w:rPr>
              <w:t>1) Art Club</w:t>
            </w:r>
          </w:p>
        </w:tc>
        <w:tc>
          <w:tcPr>
            <w:tcW w:w="3487" w:type="dxa"/>
          </w:tcPr>
          <w:p w:rsidR="002333F8" w:rsidRPr="0010390D" w:rsidRDefault="002333F8" w:rsidP="0010390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0390D">
              <w:rPr>
                <w:rFonts w:ascii="Arial" w:hAnsi="Arial" w:cs="Arial"/>
                <w:sz w:val="20"/>
                <w:szCs w:val="20"/>
              </w:rPr>
              <w:t>1) Pupils benefit from an enriched curriculum to enhance the breadth of their experience and opportunity in learning.</w:t>
            </w:r>
            <w:r>
              <w:rPr>
                <w:rFonts w:ascii="Arial" w:hAnsi="Arial" w:cs="Arial"/>
                <w:sz w:val="20"/>
                <w:szCs w:val="20"/>
              </w:rPr>
              <w:t xml:space="preserve"> PP pupils targeted to attend.</w:t>
            </w:r>
          </w:p>
        </w:tc>
        <w:tc>
          <w:tcPr>
            <w:tcW w:w="3488" w:type="dxa"/>
            <w:gridSpan w:val="2"/>
            <w:vMerge w:val="restart"/>
          </w:tcPr>
          <w:p w:rsidR="002333F8" w:rsidRDefault="002333F8" w:rsidP="0010390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33F8" w:rsidRDefault="002333F8" w:rsidP="0010390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33F8" w:rsidRDefault="002333F8" w:rsidP="0010390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33F8" w:rsidRPr="008751DC" w:rsidRDefault="002333F8" w:rsidP="0010390D">
            <w:pPr>
              <w:rPr>
                <w:rFonts w:ascii="Arial" w:hAnsi="Arial" w:cs="Arial"/>
                <w:sz w:val="20"/>
                <w:szCs w:val="20"/>
              </w:rPr>
            </w:pPr>
            <w:r w:rsidRPr="008751DC">
              <w:rPr>
                <w:rFonts w:ascii="Arial" w:hAnsi="Arial" w:cs="Arial"/>
                <w:sz w:val="20"/>
                <w:szCs w:val="20"/>
              </w:rPr>
              <w:t xml:space="preserve">Audit of school clubs attendance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activities </w:t>
            </w:r>
            <w:r w:rsidRPr="008751DC">
              <w:rPr>
                <w:rFonts w:ascii="Arial" w:hAnsi="Arial" w:cs="Arial"/>
                <w:sz w:val="20"/>
                <w:szCs w:val="20"/>
              </w:rPr>
              <w:t>across the academic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2018 - 2019</w:t>
            </w:r>
            <w:r w:rsidRPr="008751DC">
              <w:rPr>
                <w:rFonts w:ascii="Arial" w:hAnsi="Arial" w:cs="Arial"/>
                <w:sz w:val="20"/>
                <w:szCs w:val="20"/>
              </w:rPr>
              <w:t xml:space="preserve"> to ensure all pupils eligible for PP funding are accessing </w:t>
            </w:r>
            <w:r>
              <w:rPr>
                <w:rFonts w:ascii="Arial" w:hAnsi="Arial" w:cs="Arial"/>
                <w:sz w:val="20"/>
                <w:szCs w:val="20"/>
              </w:rPr>
              <w:t>some form of clubs/activities in the coming academic year</w:t>
            </w:r>
          </w:p>
        </w:tc>
      </w:tr>
      <w:tr w:rsidR="002333F8" w:rsidRPr="00E537F2" w:rsidTr="001D38D7">
        <w:tc>
          <w:tcPr>
            <w:tcW w:w="3487" w:type="dxa"/>
            <w:vMerge/>
          </w:tcPr>
          <w:p w:rsidR="002333F8" w:rsidRPr="00E537F2" w:rsidRDefault="002333F8" w:rsidP="0010390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2333F8" w:rsidRPr="0010390D" w:rsidRDefault="002333F8" w:rsidP="0010390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0390D">
              <w:rPr>
                <w:rFonts w:ascii="Arial" w:hAnsi="Arial" w:cs="Arial"/>
                <w:sz w:val="20"/>
                <w:szCs w:val="20"/>
              </w:rPr>
              <w:t>2) Choir</w:t>
            </w:r>
          </w:p>
        </w:tc>
        <w:tc>
          <w:tcPr>
            <w:tcW w:w="3487" w:type="dxa"/>
          </w:tcPr>
          <w:p w:rsidR="002333F8" w:rsidRPr="0010390D" w:rsidRDefault="002333F8" w:rsidP="0010390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0390D">
              <w:rPr>
                <w:rFonts w:ascii="Arial" w:hAnsi="Arial" w:cs="Arial"/>
                <w:sz w:val="20"/>
                <w:szCs w:val="20"/>
              </w:rPr>
              <w:t>2) Pupils benefit from an enriched curriculum to enhance the breadth of their experience and opportunity in learning.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1DC">
              <w:rPr>
                <w:rFonts w:ascii="Arial" w:hAnsi="Arial" w:cs="Arial"/>
                <w:sz w:val="20"/>
                <w:szCs w:val="20"/>
              </w:rPr>
              <w:t>PP pupils targeted to attend.</w:t>
            </w:r>
          </w:p>
        </w:tc>
        <w:tc>
          <w:tcPr>
            <w:tcW w:w="3488" w:type="dxa"/>
            <w:gridSpan w:val="2"/>
            <w:vMerge/>
          </w:tcPr>
          <w:p w:rsidR="002333F8" w:rsidRPr="00E537F2" w:rsidRDefault="002333F8" w:rsidP="0010390D">
            <w:pPr>
              <w:rPr>
                <w:rFonts w:ascii="Arial" w:hAnsi="Arial" w:cs="Arial"/>
              </w:rPr>
            </w:pPr>
          </w:p>
        </w:tc>
      </w:tr>
      <w:tr w:rsidR="002333F8" w:rsidRPr="00E537F2" w:rsidTr="001D38D7">
        <w:tc>
          <w:tcPr>
            <w:tcW w:w="3487" w:type="dxa"/>
            <w:vMerge/>
          </w:tcPr>
          <w:p w:rsidR="002333F8" w:rsidRPr="00E537F2" w:rsidRDefault="002333F8" w:rsidP="0010390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2333F8" w:rsidRPr="0010390D" w:rsidRDefault="002333F8" w:rsidP="0010390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0390D">
              <w:rPr>
                <w:rFonts w:ascii="Arial" w:hAnsi="Arial" w:cs="Arial"/>
                <w:sz w:val="20"/>
                <w:szCs w:val="20"/>
              </w:rPr>
              <w:t>3) Road safety Officer training</w:t>
            </w:r>
          </w:p>
        </w:tc>
        <w:tc>
          <w:tcPr>
            <w:tcW w:w="3487" w:type="dxa"/>
          </w:tcPr>
          <w:p w:rsidR="002333F8" w:rsidRPr="0010390D" w:rsidRDefault="002333F8" w:rsidP="0010390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0390D">
              <w:rPr>
                <w:rFonts w:ascii="Arial" w:hAnsi="Arial" w:cs="Arial"/>
                <w:sz w:val="20"/>
                <w:szCs w:val="20"/>
              </w:rPr>
              <w:t>3)1 pupil received training to disseminate to the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. PP pupil </w:t>
            </w:r>
            <w:r w:rsidRPr="008751DC">
              <w:rPr>
                <w:rFonts w:ascii="Arial" w:hAnsi="Arial" w:cs="Arial"/>
                <w:sz w:val="20"/>
                <w:szCs w:val="20"/>
              </w:rPr>
              <w:t>targeted to attend.</w:t>
            </w:r>
          </w:p>
        </w:tc>
        <w:tc>
          <w:tcPr>
            <w:tcW w:w="3488" w:type="dxa"/>
            <w:gridSpan w:val="2"/>
            <w:vMerge/>
          </w:tcPr>
          <w:p w:rsidR="002333F8" w:rsidRPr="00E537F2" w:rsidRDefault="002333F8" w:rsidP="0010390D">
            <w:pPr>
              <w:rPr>
                <w:rFonts w:ascii="Arial" w:hAnsi="Arial" w:cs="Arial"/>
              </w:rPr>
            </w:pPr>
          </w:p>
        </w:tc>
      </w:tr>
      <w:tr w:rsidR="002333F8" w:rsidRPr="00E537F2" w:rsidTr="001D38D7">
        <w:tc>
          <w:tcPr>
            <w:tcW w:w="3487" w:type="dxa"/>
            <w:vMerge/>
          </w:tcPr>
          <w:p w:rsidR="002333F8" w:rsidRPr="00E537F2" w:rsidRDefault="002333F8" w:rsidP="0010390D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2333F8" w:rsidRPr="0010390D" w:rsidRDefault="002333F8" w:rsidP="0010390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Dance Club</w:t>
            </w:r>
          </w:p>
        </w:tc>
        <w:tc>
          <w:tcPr>
            <w:tcW w:w="3487" w:type="dxa"/>
          </w:tcPr>
          <w:p w:rsidR="002333F8" w:rsidRPr="0010390D" w:rsidRDefault="002333F8" w:rsidP="002333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1 pupil attended extra-curricular dance club and took part in performances in and out of school.</w:t>
            </w:r>
          </w:p>
        </w:tc>
        <w:tc>
          <w:tcPr>
            <w:tcW w:w="3488" w:type="dxa"/>
            <w:gridSpan w:val="2"/>
            <w:vMerge/>
          </w:tcPr>
          <w:p w:rsidR="002333F8" w:rsidRPr="00E537F2" w:rsidRDefault="002333F8" w:rsidP="0010390D">
            <w:pPr>
              <w:rPr>
                <w:rFonts w:ascii="Arial" w:hAnsi="Arial" w:cs="Arial"/>
              </w:rPr>
            </w:pPr>
          </w:p>
        </w:tc>
      </w:tr>
      <w:tr w:rsidR="00A8652B" w:rsidRPr="00E537F2" w:rsidTr="001D38D7">
        <w:tc>
          <w:tcPr>
            <w:tcW w:w="13949" w:type="dxa"/>
            <w:gridSpan w:val="5"/>
          </w:tcPr>
          <w:p w:rsidR="002333F8" w:rsidRPr="002333F8" w:rsidRDefault="00A8652B" w:rsidP="002333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333F8">
              <w:rPr>
                <w:rFonts w:ascii="Arial" w:hAnsi="Arial" w:cs="Arial"/>
                <w:b/>
              </w:rPr>
              <w:t>Targeted support</w:t>
            </w:r>
          </w:p>
        </w:tc>
      </w:tr>
      <w:tr w:rsidR="00A8652B" w:rsidRPr="00E537F2" w:rsidTr="001D38D7">
        <w:tc>
          <w:tcPr>
            <w:tcW w:w="3487" w:type="dxa"/>
          </w:tcPr>
          <w:p w:rsidR="00A8652B" w:rsidRPr="00A8652B" w:rsidRDefault="00A8652B" w:rsidP="00A8652B">
            <w:pPr>
              <w:rPr>
                <w:rFonts w:ascii="Arial" w:hAnsi="Arial" w:cs="Arial"/>
                <w:sz w:val="20"/>
                <w:szCs w:val="20"/>
              </w:rPr>
            </w:pPr>
            <w:r w:rsidRPr="00A8652B">
              <w:rPr>
                <w:rFonts w:ascii="Arial" w:hAnsi="Arial" w:cs="Arial"/>
                <w:sz w:val="20"/>
                <w:szCs w:val="20"/>
              </w:rPr>
              <w:t>B. To provide emotional, pastoral and academic support for PP pupils through an enriched SMSC curriculum. To provide additional support for the wider family where appropriate</w:t>
            </w:r>
          </w:p>
        </w:tc>
        <w:tc>
          <w:tcPr>
            <w:tcW w:w="3487" w:type="dxa"/>
          </w:tcPr>
          <w:p w:rsidR="00A8652B" w:rsidRPr="00A8652B" w:rsidRDefault="00A8652B" w:rsidP="00A8652B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1) ELSA/counselling therapy</w:t>
            </w:r>
          </w:p>
          <w:p w:rsidR="00A8652B" w:rsidRPr="00A8652B" w:rsidRDefault="00A8652B" w:rsidP="00A8652B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and training to support pupils and families.</w:t>
            </w:r>
          </w:p>
          <w:p w:rsidR="00A8652B" w:rsidRPr="00A8652B" w:rsidRDefault="00A8652B" w:rsidP="00A8652B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A8652B" w:rsidRPr="00A8652B" w:rsidRDefault="00A8652B" w:rsidP="00A86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A8652B" w:rsidRPr="00A8652B" w:rsidRDefault="00A8652B" w:rsidP="00A8652B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1) To boost the self-esteem and resilience of learners who fear taking risks.</w:t>
            </w:r>
          </w:p>
          <w:p w:rsidR="00A8652B" w:rsidRPr="00A8652B" w:rsidRDefault="00A8652B" w:rsidP="00A8652B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A8652B" w:rsidRPr="00A8652B" w:rsidRDefault="00A8652B" w:rsidP="00A86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:rsidR="00A8652B" w:rsidRPr="00031DD6" w:rsidRDefault="00031DD6" w:rsidP="00A8652B">
            <w:pPr>
              <w:rPr>
                <w:rFonts w:ascii="Arial" w:hAnsi="Arial" w:cs="Arial"/>
                <w:sz w:val="20"/>
                <w:szCs w:val="20"/>
              </w:rPr>
            </w:pPr>
            <w:r w:rsidRPr="00031DD6">
              <w:rPr>
                <w:rFonts w:ascii="Arial" w:hAnsi="Arial" w:cs="Arial"/>
                <w:sz w:val="20"/>
                <w:szCs w:val="20"/>
              </w:rPr>
              <w:t>Continue to invest in ELSA provision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as it has an impact on pupils SEMH.</w:t>
            </w:r>
            <w:r w:rsidRPr="00031D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652B" w:rsidRPr="00E537F2" w:rsidTr="001D38D7">
        <w:tc>
          <w:tcPr>
            <w:tcW w:w="3487" w:type="dxa"/>
          </w:tcPr>
          <w:p w:rsidR="00A8652B" w:rsidRPr="00E537F2" w:rsidRDefault="00A8652B" w:rsidP="00A8652B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A8652B" w:rsidRPr="00A8652B" w:rsidRDefault="00A8652B" w:rsidP="00A8652B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2) Inclusion Manager to attend SENCO Circle support group run by HIEPS.</w:t>
            </w:r>
          </w:p>
        </w:tc>
        <w:tc>
          <w:tcPr>
            <w:tcW w:w="3487" w:type="dxa"/>
          </w:tcPr>
          <w:p w:rsidR="00A8652B" w:rsidRPr="00A8652B" w:rsidRDefault="00A8652B" w:rsidP="00A8652B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2) Inclusion Leader to remain current and updated with national and LA provision.</w:t>
            </w:r>
            <w:r w:rsidR="00C90FB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Able to sign post staff/pupils/parents to current support available.</w:t>
            </w:r>
          </w:p>
        </w:tc>
        <w:tc>
          <w:tcPr>
            <w:tcW w:w="3488" w:type="dxa"/>
            <w:gridSpan w:val="2"/>
          </w:tcPr>
          <w:p w:rsidR="00A8652B" w:rsidRPr="001F4535" w:rsidRDefault="00031DD6" w:rsidP="00A8652B">
            <w:pPr>
              <w:rPr>
                <w:rFonts w:ascii="Arial" w:hAnsi="Arial" w:cs="Arial"/>
                <w:sz w:val="20"/>
                <w:szCs w:val="20"/>
              </w:rPr>
            </w:pPr>
            <w:r w:rsidRPr="001F4535">
              <w:rPr>
                <w:rFonts w:ascii="Arial" w:hAnsi="Arial" w:cs="Arial"/>
                <w:sz w:val="20"/>
                <w:szCs w:val="20"/>
              </w:rPr>
              <w:t>Continue to invest to ensure up-to-date information.</w:t>
            </w:r>
          </w:p>
        </w:tc>
      </w:tr>
      <w:tr w:rsidR="00A8652B" w:rsidRPr="00E537F2" w:rsidTr="001D38D7">
        <w:tc>
          <w:tcPr>
            <w:tcW w:w="3487" w:type="dxa"/>
          </w:tcPr>
          <w:p w:rsidR="00A8652B" w:rsidRPr="00E537F2" w:rsidRDefault="00A8652B" w:rsidP="00A8652B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A8652B" w:rsidRPr="00A8652B" w:rsidRDefault="00A8652B" w:rsidP="00A8652B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3)</w:t>
            </w:r>
            <w:r w:rsidR="00031D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Consultation and reports from Educational Psychologist</w:t>
            </w:r>
          </w:p>
        </w:tc>
        <w:tc>
          <w:tcPr>
            <w:tcW w:w="3487" w:type="dxa"/>
          </w:tcPr>
          <w:p w:rsidR="00A8652B" w:rsidRDefault="00A8652B" w:rsidP="001F4535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3)</w:t>
            </w:r>
            <w:r w:rsidR="001F453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405C8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High</w:t>
            </w:r>
            <w:r w:rsidR="001F453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impact for i</w:t>
            </w: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ndividual pupils to receive the professional support and advice they need to overcome </w:t>
            </w: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barriers and progress</w:t>
            </w:r>
            <w:r w:rsidR="001F453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:rsidR="009E662D" w:rsidRPr="00A8652B" w:rsidRDefault="009E662D" w:rsidP="001F4535">
            <w:pPr>
              <w:widowControl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:rsidR="00A8652B" w:rsidRPr="001F4535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  <w:r w:rsidRPr="001F4535">
              <w:rPr>
                <w:rFonts w:ascii="Arial" w:hAnsi="Arial" w:cs="Arial"/>
                <w:sz w:val="20"/>
                <w:szCs w:val="20"/>
              </w:rPr>
              <w:lastRenderedPageBreak/>
              <w:t xml:space="preserve">Continue to provide </w:t>
            </w:r>
            <w:r>
              <w:rPr>
                <w:rFonts w:ascii="Arial" w:hAnsi="Arial" w:cs="Arial"/>
                <w:sz w:val="20"/>
                <w:szCs w:val="20"/>
              </w:rPr>
              <w:t>in new academic year.</w:t>
            </w:r>
          </w:p>
        </w:tc>
      </w:tr>
      <w:tr w:rsidR="001D38D7" w:rsidRPr="00E537F2" w:rsidTr="001D38D7">
        <w:tc>
          <w:tcPr>
            <w:tcW w:w="3487" w:type="dxa"/>
          </w:tcPr>
          <w:p w:rsidR="001D38D7" w:rsidRPr="001D38D7" w:rsidRDefault="001D38D7" w:rsidP="00C31B69">
            <w:pPr>
              <w:rPr>
                <w:rFonts w:ascii="Arial" w:hAnsi="Arial" w:cs="Arial"/>
                <w:b/>
              </w:rPr>
            </w:pPr>
            <w:r w:rsidRPr="001D38D7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3487" w:type="dxa"/>
          </w:tcPr>
          <w:p w:rsidR="001D38D7" w:rsidRPr="001D38D7" w:rsidRDefault="001D38D7" w:rsidP="00C31B69">
            <w:pPr>
              <w:rPr>
                <w:rFonts w:ascii="Arial" w:hAnsi="Arial" w:cs="Arial"/>
                <w:b/>
              </w:rPr>
            </w:pPr>
            <w:r w:rsidRPr="001D38D7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487" w:type="dxa"/>
          </w:tcPr>
          <w:p w:rsidR="001D38D7" w:rsidRPr="001D38D7" w:rsidRDefault="009E662D" w:rsidP="00C31B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1D38D7" w:rsidRPr="001D38D7">
              <w:rPr>
                <w:rFonts w:ascii="Arial" w:hAnsi="Arial" w:cs="Arial"/>
                <w:b/>
              </w:rPr>
              <w:t>mpact</w:t>
            </w:r>
          </w:p>
        </w:tc>
        <w:tc>
          <w:tcPr>
            <w:tcW w:w="3488" w:type="dxa"/>
            <w:gridSpan w:val="2"/>
          </w:tcPr>
          <w:p w:rsidR="001D38D7" w:rsidRPr="001D38D7" w:rsidRDefault="001D38D7" w:rsidP="00C31B69">
            <w:pPr>
              <w:rPr>
                <w:rFonts w:ascii="Arial" w:hAnsi="Arial" w:cs="Arial"/>
                <w:b/>
              </w:rPr>
            </w:pPr>
            <w:r w:rsidRPr="001D38D7">
              <w:rPr>
                <w:rFonts w:ascii="Arial" w:hAnsi="Arial" w:cs="Arial"/>
                <w:b/>
              </w:rPr>
              <w:t>Lessons learned/next steps</w:t>
            </w:r>
          </w:p>
        </w:tc>
      </w:tr>
      <w:tr w:rsidR="00A8652B" w:rsidRPr="00E537F2" w:rsidTr="001D38D7">
        <w:tc>
          <w:tcPr>
            <w:tcW w:w="3487" w:type="dxa"/>
          </w:tcPr>
          <w:p w:rsidR="00A8652B" w:rsidRPr="00A8652B" w:rsidRDefault="00A8652B" w:rsidP="00A8652B">
            <w:pPr>
              <w:rPr>
                <w:rFonts w:ascii="Arial" w:hAnsi="Arial" w:cs="Arial"/>
                <w:sz w:val="20"/>
                <w:szCs w:val="20"/>
              </w:rPr>
            </w:pPr>
            <w:r w:rsidRPr="00A8652B">
              <w:rPr>
                <w:rFonts w:ascii="Arial" w:hAnsi="Arial" w:cs="Arial"/>
                <w:sz w:val="20"/>
                <w:szCs w:val="20"/>
              </w:rPr>
              <w:t>C. Higher rates of rapid progress across the school for PP pupils</w:t>
            </w:r>
          </w:p>
        </w:tc>
        <w:tc>
          <w:tcPr>
            <w:tcW w:w="3487" w:type="dxa"/>
          </w:tcPr>
          <w:p w:rsidR="00A8652B" w:rsidRPr="00A8652B" w:rsidRDefault="00A8652B" w:rsidP="00A8652B">
            <w:pPr>
              <w:spacing w:line="288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sz w:val="20"/>
                <w:szCs w:val="20"/>
              </w:rPr>
              <w:t>1) Additional 5 hours LSA hours in Years 4/5/6 each week.</w:t>
            </w:r>
          </w:p>
        </w:tc>
        <w:tc>
          <w:tcPr>
            <w:tcW w:w="3487" w:type="dxa"/>
          </w:tcPr>
          <w:p w:rsidR="00A8652B" w:rsidRPr="00A8652B" w:rsidRDefault="00A8652B" w:rsidP="00031DD6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sz w:val="20"/>
                <w:szCs w:val="20"/>
              </w:rPr>
              <w:t>1</w:t>
            </w:r>
            <w:r w:rsidRPr="00031DD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31DD6" w:rsidRPr="00031DD6">
              <w:rPr>
                <w:rFonts w:ascii="Arial" w:hAnsi="Arial" w:cs="Arial"/>
                <w:sz w:val="20"/>
                <w:szCs w:val="20"/>
              </w:rPr>
              <w:t>In Key Stage 2 the vast majority of pupils eligible for PP funding made expected or better progress from their individual starting point. This was broadly in line with their peers.</w:t>
            </w:r>
          </w:p>
        </w:tc>
        <w:tc>
          <w:tcPr>
            <w:tcW w:w="3488" w:type="dxa"/>
            <w:gridSpan w:val="2"/>
          </w:tcPr>
          <w:p w:rsidR="00A8652B" w:rsidRPr="001F4535" w:rsidRDefault="001F4535" w:rsidP="001F4535">
            <w:pPr>
              <w:rPr>
                <w:rFonts w:ascii="Arial" w:hAnsi="Arial" w:cs="Arial"/>
                <w:sz w:val="20"/>
                <w:szCs w:val="20"/>
              </w:rPr>
            </w:pPr>
            <w:r w:rsidRPr="001F4535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>
              <w:rPr>
                <w:rFonts w:ascii="Arial" w:hAnsi="Arial" w:cs="Arial"/>
                <w:sz w:val="20"/>
                <w:szCs w:val="20"/>
              </w:rPr>
              <w:t>ensure capacity is built into LSA team to invest support in KS2.</w:t>
            </w:r>
          </w:p>
        </w:tc>
      </w:tr>
      <w:tr w:rsidR="00A8652B" w:rsidRPr="00E537F2" w:rsidTr="001D38D7">
        <w:tc>
          <w:tcPr>
            <w:tcW w:w="3487" w:type="dxa"/>
          </w:tcPr>
          <w:p w:rsidR="00A8652B" w:rsidRPr="00A8652B" w:rsidRDefault="00A8652B" w:rsidP="002333F8">
            <w:pPr>
              <w:rPr>
                <w:rFonts w:ascii="Arial" w:hAnsi="Arial" w:cs="Arial"/>
                <w:sz w:val="20"/>
                <w:szCs w:val="20"/>
              </w:rPr>
            </w:pPr>
            <w:r w:rsidRPr="00A8652B">
              <w:rPr>
                <w:rFonts w:ascii="Arial" w:hAnsi="Arial" w:cs="Arial"/>
                <w:sz w:val="20"/>
                <w:szCs w:val="20"/>
              </w:rPr>
              <w:t>D. Attendance rates for all PP children to be at target or above 96% in lin</w:t>
            </w:r>
            <w:r w:rsidR="002333F8">
              <w:rPr>
                <w:rFonts w:ascii="Arial" w:hAnsi="Arial" w:cs="Arial"/>
                <w:sz w:val="20"/>
                <w:szCs w:val="20"/>
              </w:rPr>
              <w:t xml:space="preserve">e with the rest of the school </w:t>
            </w:r>
            <w:r w:rsidRPr="00A865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A8652B" w:rsidRPr="00B95D63" w:rsidRDefault="00A8652B" w:rsidP="00A8652B">
            <w:pPr>
              <w:rPr>
                <w:rFonts w:ascii="Arial" w:hAnsi="Arial" w:cs="Arial"/>
                <w:sz w:val="20"/>
                <w:szCs w:val="20"/>
              </w:rPr>
            </w:pPr>
            <w:r w:rsidRPr="00B95D63">
              <w:rPr>
                <w:rFonts w:ascii="Arial" w:hAnsi="Arial" w:cs="Arial"/>
                <w:sz w:val="20"/>
                <w:szCs w:val="20"/>
              </w:rPr>
              <w:t>Tightly monitored attendance by Admin team with follow up support work by HT and Inclusion Leader.</w:t>
            </w:r>
          </w:p>
        </w:tc>
        <w:tc>
          <w:tcPr>
            <w:tcW w:w="3487" w:type="dxa"/>
          </w:tcPr>
          <w:p w:rsidR="00A8652B" w:rsidRPr="00B95D63" w:rsidRDefault="00B70F94" w:rsidP="00A8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vast majority of pupils eligible for PP funding have attendance rates in line with or above their non-PP peers for the year. 2 pupils have been identified as having attendance of 95% and 93% (below the average for the whole school). These families will receive attendance advice and support.</w:t>
            </w:r>
          </w:p>
        </w:tc>
        <w:tc>
          <w:tcPr>
            <w:tcW w:w="3488" w:type="dxa"/>
            <w:gridSpan w:val="2"/>
          </w:tcPr>
          <w:p w:rsidR="00A8652B" w:rsidRPr="00B70F94" w:rsidRDefault="00B70F94" w:rsidP="004B4309">
            <w:pPr>
              <w:rPr>
                <w:rFonts w:ascii="Arial" w:hAnsi="Arial" w:cs="Arial"/>
                <w:sz w:val="20"/>
                <w:szCs w:val="20"/>
              </w:rPr>
            </w:pPr>
            <w:r w:rsidRPr="00B70F94">
              <w:rPr>
                <w:rFonts w:ascii="Arial" w:hAnsi="Arial" w:cs="Arial"/>
                <w:sz w:val="20"/>
                <w:szCs w:val="20"/>
              </w:rPr>
              <w:t>To continue to monitor and improve the attendance for pupils eligible for PP funding.</w:t>
            </w:r>
            <w:r w:rsidR="001F4535">
              <w:rPr>
                <w:rFonts w:ascii="Arial" w:hAnsi="Arial" w:cs="Arial"/>
                <w:sz w:val="20"/>
                <w:szCs w:val="20"/>
              </w:rPr>
              <w:t xml:space="preserve">  Advice and support given to families falling below 9</w:t>
            </w:r>
            <w:r w:rsidR="004B4309">
              <w:rPr>
                <w:rFonts w:ascii="Arial" w:hAnsi="Arial" w:cs="Arial"/>
                <w:sz w:val="20"/>
                <w:szCs w:val="20"/>
              </w:rPr>
              <w:t>6</w:t>
            </w:r>
            <w:r w:rsidR="001F4535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1F4535" w:rsidRPr="00E537F2" w:rsidTr="001D38D7">
        <w:tc>
          <w:tcPr>
            <w:tcW w:w="3487" w:type="dxa"/>
          </w:tcPr>
          <w:p w:rsidR="001F4535" w:rsidRPr="00E537F2" w:rsidRDefault="001F4535" w:rsidP="00A8652B">
            <w:pPr>
              <w:rPr>
                <w:rFonts w:ascii="Arial" w:hAnsi="Arial" w:cs="Arial"/>
              </w:rPr>
            </w:pPr>
            <w:r w:rsidRPr="00A8652B">
              <w:rPr>
                <w:rFonts w:ascii="Arial" w:hAnsi="Arial" w:cs="Arial"/>
                <w:sz w:val="20"/>
                <w:szCs w:val="20"/>
              </w:rPr>
              <w:t>E. All PP pupils have access to extra-curricular activities, opportunities to take part in any enriched activity, visit or residential experience</w:t>
            </w:r>
            <w:r w:rsidRPr="00A8652B">
              <w:rPr>
                <w:rFonts w:ascii="Arial" w:hAnsi="Arial" w:cs="Arial"/>
              </w:rPr>
              <w:t>.</w:t>
            </w:r>
          </w:p>
        </w:tc>
        <w:tc>
          <w:tcPr>
            <w:tcW w:w="3487" w:type="dxa"/>
          </w:tcPr>
          <w:p w:rsidR="001F4535" w:rsidRPr="00A8652B" w:rsidRDefault="001F4535" w:rsidP="002333F8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1)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Subsidised school visits, transport, workshops and enriched curriculum activities.</w:t>
            </w:r>
          </w:p>
        </w:tc>
        <w:tc>
          <w:tcPr>
            <w:tcW w:w="3487" w:type="dxa"/>
          </w:tcPr>
          <w:p w:rsidR="001F4535" w:rsidRPr="00A8652B" w:rsidRDefault="001F4535" w:rsidP="001F4535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1)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Impact; pupils eligible for PP funding have benefitted from many wider life opportunities throughout the year for </w:t>
            </w: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enhance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</w:t>
            </w: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learning, independence and social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skills, b</w:t>
            </w: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uilding est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eem, confidence and resilience</w:t>
            </w:r>
          </w:p>
        </w:tc>
        <w:tc>
          <w:tcPr>
            <w:tcW w:w="3488" w:type="dxa"/>
            <w:gridSpan w:val="2"/>
            <w:vMerge w:val="restart"/>
          </w:tcPr>
          <w:p w:rsidR="001F4535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535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535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to ensure pupils have access to a </w:t>
            </w:r>
            <w:r w:rsidR="00F25A0A">
              <w:rPr>
                <w:rFonts w:ascii="Arial" w:hAnsi="Arial" w:cs="Arial"/>
                <w:sz w:val="20"/>
                <w:szCs w:val="20"/>
              </w:rPr>
              <w:t>wider lif</w:t>
            </w:r>
            <w:r w:rsidR="00720EF8">
              <w:rPr>
                <w:rFonts w:ascii="Arial" w:hAnsi="Arial" w:cs="Arial"/>
                <w:sz w:val="20"/>
                <w:szCs w:val="20"/>
              </w:rPr>
              <w:t>e opportunities and experiences as they benefitted from them across this academic year.</w:t>
            </w:r>
          </w:p>
          <w:p w:rsidR="001F4535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535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535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535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535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535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4535" w:rsidRPr="00E537F2" w:rsidRDefault="001F4535" w:rsidP="00A86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4535" w:rsidRPr="00E537F2" w:rsidTr="001D38D7">
        <w:tc>
          <w:tcPr>
            <w:tcW w:w="3487" w:type="dxa"/>
          </w:tcPr>
          <w:p w:rsidR="001F4535" w:rsidRPr="00E537F2" w:rsidRDefault="001F4535" w:rsidP="00A8652B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1F4535" w:rsidRPr="00A8652B" w:rsidRDefault="001F4535" w:rsidP="00A8652B">
            <w:pPr>
              <w:spacing w:line="288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2) </w:t>
            </w:r>
            <w:r w:rsidRPr="00A8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HMS Music teacher Y4/5</w:t>
            </w:r>
          </w:p>
          <w:p w:rsidR="001F4535" w:rsidRPr="00A8652B" w:rsidRDefault="001F4535" w:rsidP="00A8652B">
            <w:pPr>
              <w:spacing w:line="288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87" w:type="dxa"/>
          </w:tcPr>
          <w:p w:rsidR="001F4535" w:rsidRPr="00A8652B" w:rsidRDefault="001F4535" w:rsidP="00B27DF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2)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Enrichment to enhance the breadth of experience and opportunity in learning.</w:t>
            </w:r>
            <w:r w:rsidRPr="00A8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2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Building esteem, confidence and resilience.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High impact. Pupils enjoyed drumming and performing their skills to the school.</w:t>
            </w:r>
          </w:p>
        </w:tc>
        <w:tc>
          <w:tcPr>
            <w:tcW w:w="3488" w:type="dxa"/>
            <w:gridSpan w:val="2"/>
            <w:vMerge/>
          </w:tcPr>
          <w:p w:rsidR="001F4535" w:rsidRPr="00B27DF7" w:rsidRDefault="001F4535" w:rsidP="00A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37C0" w:rsidRDefault="00B137C0" w:rsidP="00A8652B"/>
    <w:sectPr w:rsidR="00B137C0" w:rsidSect="00B137C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3D" w:rsidRDefault="009A273D" w:rsidP="00B137C0">
      <w:pPr>
        <w:spacing w:after="0" w:line="240" w:lineRule="auto"/>
      </w:pPr>
      <w:r>
        <w:separator/>
      </w:r>
    </w:p>
  </w:endnote>
  <w:endnote w:type="continuationSeparator" w:id="0">
    <w:p w:rsidR="009A273D" w:rsidRDefault="009A273D" w:rsidP="00B1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3D" w:rsidRDefault="009A273D" w:rsidP="00B137C0">
      <w:pPr>
        <w:spacing w:after="0" w:line="240" w:lineRule="auto"/>
      </w:pPr>
      <w:r>
        <w:separator/>
      </w:r>
    </w:p>
  </w:footnote>
  <w:footnote w:type="continuationSeparator" w:id="0">
    <w:p w:rsidR="009A273D" w:rsidRDefault="009A273D" w:rsidP="00B1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C0" w:rsidRPr="002A143A" w:rsidRDefault="00B137C0">
    <w:pPr>
      <w:pStyle w:val="Header"/>
      <w:rPr>
        <w:rFonts w:ascii="Arial" w:hAnsi="Arial" w:cs="Arial"/>
        <w:b/>
        <w:sz w:val="24"/>
        <w:szCs w:val="24"/>
      </w:rPr>
    </w:pPr>
    <w:r w:rsidRPr="002A143A">
      <w:rPr>
        <w:rFonts w:ascii="Arial" w:hAnsi="Arial" w:cs="Arial"/>
        <w:b/>
        <w:sz w:val="24"/>
        <w:szCs w:val="24"/>
      </w:rPr>
      <w:t>Pupil premium strategy</w:t>
    </w:r>
    <w:r w:rsidR="005B0D5A">
      <w:rPr>
        <w:rFonts w:ascii="Arial" w:hAnsi="Arial" w:cs="Arial"/>
        <w:b/>
        <w:sz w:val="24"/>
        <w:szCs w:val="24"/>
      </w:rPr>
      <w:t xml:space="preserve"> review 2018 - 2019</w:t>
    </w:r>
    <w:r w:rsidRPr="002A143A">
      <w:rPr>
        <w:rFonts w:ascii="Arial" w:hAnsi="Arial" w:cs="Arial"/>
        <w:b/>
        <w:sz w:val="24"/>
        <w:szCs w:val="24"/>
      </w:rPr>
      <w:t>:  Preston Candover CE Primary School</w:t>
    </w:r>
  </w:p>
  <w:p w:rsidR="00B137C0" w:rsidRPr="002A143A" w:rsidRDefault="00B137C0">
    <w:pPr>
      <w:pStyle w:val="Header"/>
      <w:rPr>
        <w:rFonts w:ascii="Arial" w:hAnsi="Arial" w:cs="Arial"/>
        <w:b/>
        <w:sz w:val="24"/>
        <w:szCs w:val="24"/>
      </w:rPr>
    </w:pPr>
  </w:p>
  <w:p w:rsidR="00B137C0" w:rsidRPr="00B137C0" w:rsidRDefault="00B137C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277E"/>
    <w:multiLevelType w:val="hybridMultilevel"/>
    <w:tmpl w:val="B79C60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D6AA7"/>
    <w:multiLevelType w:val="hybridMultilevel"/>
    <w:tmpl w:val="562A24D0"/>
    <w:lvl w:ilvl="0" w:tplc="A6E41E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C0"/>
    <w:rsid w:val="000019AD"/>
    <w:rsid w:val="00031DD6"/>
    <w:rsid w:val="00083C1B"/>
    <w:rsid w:val="0010390D"/>
    <w:rsid w:val="001D38D7"/>
    <w:rsid w:val="001F4535"/>
    <w:rsid w:val="00213DCB"/>
    <w:rsid w:val="002333F8"/>
    <w:rsid w:val="002A143A"/>
    <w:rsid w:val="003350BC"/>
    <w:rsid w:val="003B01FD"/>
    <w:rsid w:val="00405C89"/>
    <w:rsid w:val="00460698"/>
    <w:rsid w:val="004A1C0B"/>
    <w:rsid w:val="004B4309"/>
    <w:rsid w:val="005B0D5A"/>
    <w:rsid w:val="005B77B7"/>
    <w:rsid w:val="00633FD7"/>
    <w:rsid w:val="00720EF8"/>
    <w:rsid w:val="008751DC"/>
    <w:rsid w:val="00927DD0"/>
    <w:rsid w:val="00990C25"/>
    <w:rsid w:val="009A273D"/>
    <w:rsid w:val="009E662D"/>
    <w:rsid w:val="00A01E5C"/>
    <w:rsid w:val="00A8652B"/>
    <w:rsid w:val="00AD0F91"/>
    <w:rsid w:val="00B023EE"/>
    <w:rsid w:val="00B137C0"/>
    <w:rsid w:val="00B23FF0"/>
    <w:rsid w:val="00B27DF7"/>
    <w:rsid w:val="00B37007"/>
    <w:rsid w:val="00B70F94"/>
    <w:rsid w:val="00B95D63"/>
    <w:rsid w:val="00BF7442"/>
    <w:rsid w:val="00C234EF"/>
    <w:rsid w:val="00C70344"/>
    <w:rsid w:val="00C90FBE"/>
    <w:rsid w:val="00E537F2"/>
    <w:rsid w:val="00F25A0A"/>
    <w:rsid w:val="00F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22365-AB7B-4F0C-B4E6-AE1F4E54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C0"/>
  </w:style>
  <w:style w:type="paragraph" w:styleId="Footer">
    <w:name w:val="footer"/>
    <w:basedOn w:val="Normal"/>
    <w:link w:val="FooterChar"/>
    <w:uiPriority w:val="99"/>
    <w:unhideWhenUsed/>
    <w:rsid w:val="00B13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C0"/>
  </w:style>
  <w:style w:type="paragraph" w:styleId="ListParagraph">
    <w:name w:val="List Paragraph"/>
    <w:basedOn w:val="Normal"/>
    <w:uiPriority w:val="34"/>
    <w:qFormat/>
    <w:rsid w:val="00E5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6ACF953B</Template>
  <TotalTime>1</TotalTime>
  <Pages>2</Pages>
  <Words>906</Words>
  <Characters>5170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Taylor</dc:creator>
  <cp:keywords/>
  <dc:description/>
  <cp:lastModifiedBy>Lauren Otway</cp:lastModifiedBy>
  <cp:revision>2</cp:revision>
  <dcterms:created xsi:type="dcterms:W3CDTF">2019-10-01T12:59:00Z</dcterms:created>
  <dcterms:modified xsi:type="dcterms:W3CDTF">2019-10-01T12:59:00Z</dcterms:modified>
</cp:coreProperties>
</file>